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6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77"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17"/>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REYN</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4"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31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4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30, 2026, the registrant had 210,879,018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040" w:type="dxa"/>
            <w:vAlign w:val="bottom"/>
            <w:vMerge w:val="continue"/>
          </w:tcPr>
          <w:p>
            <w:pPr>
              <w:spacing w:after="0"/>
              <w:rPr>
                <w:sz w:val="18"/>
                <w:szCs w:val="18"/>
                <w:color w:val="auto"/>
              </w:rPr>
            </w:pPr>
          </w:p>
        </w:tc>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260" w:type="dxa"/>
            <w:vAlign w:val="bottom"/>
            <w:gridSpan w:val="10"/>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2"/>
                <w:szCs w:val="22"/>
                <w:color w:val="auto"/>
              </w:rPr>
            </w:pPr>
          </w:p>
        </w:tc>
        <w:tc>
          <w:tcPr>
            <w:tcW w:w="82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nine months ended September 30, 2026 and 2025</w:t>
            </w:r>
          </w:p>
        </w:tc>
        <w:tc>
          <w:tcPr>
            <w:tcW w:w="1440" w:type="dxa"/>
            <w:vAlign w:val="bottom"/>
            <w:gridSpan w:val="3"/>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 and 2025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2"/>
                <w:szCs w:val="22"/>
                <w:color w:val="auto"/>
              </w:rPr>
            </w:pPr>
          </w:p>
        </w:tc>
        <w:tc>
          <w:tcPr>
            <w:tcW w:w="94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2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spacing w:after="0"/>
              <w:rPr>
                <w:sz w:val="22"/>
                <w:szCs w:val="22"/>
                <w:color w:val="auto"/>
              </w:rPr>
            </w:pPr>
          </w:p>
        </w:tc>
        <w:tc>
          <w:tcPr>
            <w:tcW w:w="92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2026 and 2025</w:t>
            </w:r>
          </w:p>
        </w:tc>
        <w:tc>
          <w:tcPr>
            <w:tcW w:w="46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2"/>
                <w:szCs w:val="22"/>
                <w:color w:val="auto"/>
              </w:rPr>
            </w:pPr>
          </w:p>
        </w:tc>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3040" w:type="dxa"/>
            <w:vAlign w:val="bottom"/>
            <w:tcBorders>
              <w:top w:val="single" w:sz="8" w:color="0000FF"/>
            </w:tcBorders>
            <w:gridSpan w:val="3"/>
          </w:tcPr>
          <w:p>
            <w:pPr>
              <w:spacing w:after="0"/>
              <w:rPr>
                <w:sz w:val="22"/>
                <w:szCs w:val="22"/>
                <w:color w:val="auto"/>
              </w:rPr>
            </w:pPr>
          </w:p>
        </w:tc>
        <w:tc>
          <w:tcPr>
            <w:tcW w:w="1860" w:type="dxa"/>
            <w:vAlign w:val="bottom"/>
            <w:gridSpan w:val="4"/>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2"/>
                <w:szCs w:val="22"/>
                <w:color w:val="auto"/>
              </w:rPr>
            </w:pPr>
          </w:p>
        </w:tc>
        <w:tc>
          <w:tcPr>
            <w:tcW w:w="3240" w:type="dxa"/>
            <w:vAlign w:val="bottom"/>
            <w:gridSpan w:val="6"/>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vMerge w:val="continue"/>
          </w:tcPr>
          <w:p>
            <w:pPr>
              <w:spacing w:after="0"/>
              <w:rPr>
                <w:sz w:val="22"/>
                <w:szCs w:val="22"/>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800" w:type="dxa"/>
            <w:vAlign w:val="bottom"/>
            <w:gridSpan w:val="13"/>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360" w:type="dxa"/>
            <w:vAlign w:val="bottom"/>
            <w:gridSpan w:val="15"/>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9"/>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360" w:type="dxa"/>
            <w:vAlign w:val="bottom"/>
            <w:gridSpan w:val="11"/>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920" w:type="dxa"/>
            <w:vAlign w:val="bottom"/>
            <w:gridSpan w:val="14"/>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2"/>
                <w:szCs w:val="22"/>
                <w:color w:val="auto"/>
              </w:rPr>
            </w:pPr>
          </w:p>
        </w:tc>
        <w:tc>
          <w:tcPr>
            <w:tcW w:w="8380" w:type="dxa"/>
            <w:vAlign w:val="bottom"/>
            <w:gridSpan w:val="16"/>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2"/>
                <w:szCs w:val="22"/>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920" w:type="dxa"/>
            <w:vAlign w:val="bottom"/>
            <w:gridSpan w:val="18"/>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w:t>
      </w:r>
    </w:p>
    <w:p>
      <w:pPr>
        <w:jc w:val="both"/>
        <w:spacing w:after="0" w:line="254" w:lineRule="auto"/>
        <w:rPr>
          <w:sz w:val="20"/>
          <w:szCs w:val="20"/>
          <w:color w:val="auto"/>
        </w:rPr>
      </w:pPr>
      <w:r>
        <w:rPr>
          <w:rFonts w:ascii="Times New Roman" w:cs="Times New Roman" w:eastAsia="Times New Roman" w:hAnsi="Times New Roman"/>
          <w:sz w:val="18"/>
          <w:szCs w:val="18"/>
          <w:color w:val="auto"/>
        </w:rPr>
        <w:t>“confident,”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2025 and as updated in our Quarterly Reports on Form 10-Q. You should specifically consider the numerous risks outlined in the “Risk Factors” sections. These risks and uncertainties include factors related to:</w:t>
      </w:r>
    </w:p>
    <w:p>
      <w:pPr>
        <w:spacing w:after="0" w:line="215" w:lineRule="exact"/>
        <w:rPr>
          <w:sz w:val="20"/>
          <w:szCs w:val="20"/>
          <w:color w:val="auto"/>
        </w:rPr>
      </w:pPr>
    </w:p>
    <w:p>
      <w:pPr>
        <w:ind w:left="880" w:right="18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 as well as changes in current or future laws and regulations related to environmental matters;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5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spacing w:after="0" w:line="53"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 and other products;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2025, which was filed on February 4, 2026,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5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0"/>
        </w:trPr>
        <w:tc>
          <w:tcPr>
            <w:tcW w:w="49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98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98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r>
      <w:tr>
        <w:trPr>
          <w:trHeight w:val="25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r>
      <w:tr>
        <w:trPr>
          <w:trHeight w:val="257"/>
        </w:trPr>
        <w:tc>
          <w:tcPr>
            <w:tcW w:w="4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57"/>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2"/>
                <w:szCs w:val="22"/>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8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70"/>
        </w:trPr>
        <w:tc>
          <w:tcPr>
            <w:tcW w:w="4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57"/>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7"/>
        </w:trPr>
        <w:tc>
          <w:tcPr>
            <w:tcW w:w="49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25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460" w:type="dxa"/>
            <w:vAlign w:val="bottom"/>
          </w:tcPr>
          <w:p>
            <w:pPr>
              <w:spacing w:after="0"/>
              <w:rPr>
                <w:sz w:val="15"/>
                <w:szCs w:val="15"/>
                <w:color w:val="auto"/>
              </w:rPr>
            </w:pPr>
          </w:p>
        </w:tc>
      </w:tr>
      <w:tr>
        <w:trPr>
          <w:trHeight w:val="190"/>
        </w:trPr>
        <w:tc>
          <w:tcPr>
            <w:tcW w:w="5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r>
      <w:tr>
        <w:trPr>
          <w:trHeight w:val="37"/>
        </w:trPr>
        <w:tc>
          <w:tcPr>
            <w:tcW w:w="52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00"/>
        </w:trPr>
        <w:tc>
          <w:tcPr>
            <w:tcW w:w="5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r>
      <w:tr>
        <w:trPr>
          <w:trHeight w:val="37"/>
        </w:trPr>
        <w:tc>
          <w:tcPr>
            <w:tcW w:w="52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63"/>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940" w:type="dxa"/>
            <w:vAlign w:val="bottom"/>
          </w:tcPr>
          <w:p>
            <w:pPr>
              <w:spacing w:after="0"/>
              <w:rPr>
                <w:sz w:val="22"/>
                <w:szCs w:val="22"/>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83"/>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14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$2)</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$1,100 and $1,034)</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0" w:type="dxa"/>
            <w:vAlign w:val="bottom"/>
          </w:tcPr>
          <w:p>
            <w:pPr>
              <w:spacing w:after="0"/>
              <w:rPr>
                <w:sz w:val="1"/>
                <w:szCs w:val="1"/>
                <w:color w:val="auto"/>
              </w:rPr>
            </w:pP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0" w:type="dxa"/>
            <w:vAlign w:val="bottom"/>
          </w:tcPr>
          <w:p>
            <w:pPr>
              <w:spacing w:after="0"/>
              <w:rPr>
                <w:sz w:val="1"/>
                <w:szCs w:val="1"/>
                <w:color w:val="auto"/>
              </w:rPr>
            </w:pPr>
          </w:p>
        </w:tc>
      </w:tr>
      <w:tr>
        <w:trPr>
          <w:trHeight w:val="25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210.9 and 210.3 shares issued and</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57"/>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2,332</w:t>
            </w: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0" w:type="dxa"/>
            <w:vAlign w:val="bottom"/>
          </w:tcPr>
          <w:p>
            <w:pPr>
              <w:spacing w:after="0"/>
              <w:rPr>
                <w:sz w:val="1"/>
                <w:szCs w:val="1"/>
                <w:color w:val="auto"/>
              </w:rPr>
            </w:pPr>
          </w:p>
        </w:tc>
      </w:tr>
      <w:tr>
        <w:trPr>
          <w:trHeight w:val="27"/>
        </w:trPr>
        <w:tc>
          <w:tcPr>
            <w:tcW w:w="7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5"/>
                <w:szCs w:val="15"/>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5"/>
                <w:szCs w:val="15"/>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00" w:type="dxa"/>
            <w:vAlign w:val="bottom"/>
          </w:tcPr>
          <w:p>
            <w:pPr>
              <w:spacing w:after="0"/>
              <w:rPr>
                <w:sz w:val="17"/>
                <w:szCs w:val="17"/>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8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9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1,429</w:t>
            </w:r>
          </w:p>
        </w:tc>
        <w:tc>
          <w:tcPr>
            <w:tcW w:w="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w:t>
            </w:r>
          </w:p>
        </w:tc>
        <w:tc>
          <w:tcPr>
            <w:tcW w:w="0" w:type="dxa"/>
            <w:vAlign w:val="bottom"/>
          </w:tcPr>
          <w:p>
            <w:pPr>
              <w:spacing w:after="0"/>
              <w:rPr>
                <w:sz w:val="1"/>
                <w:szCs w:val="1"/>
                <w:color w:val="auto"/>
              </w:rPr>
            </w:pPr>
          </w:p>
        </w:tc>
      </w:tr>
      <w:tr>
        <w:trPr>
          <w:trHeight w:val="75"/>
        </w:trPr>
        <w:tc>
          <w:tcPr>
            <w:tcW w:w="38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108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22"/>
                <w:szCs w:val="2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8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term loan refinancing</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8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existing term loan</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50"/>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103"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inflows and outflows due to changes in term loan lender composition.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Kitchen Essentials; Hefty Waste &amp; Clean-Up; Hefty Home &amp; Tableware; and Hefty Storage &amp; Organization. Refer to Note 9 - Segment Information for details of a segment reorganization that took place during the three months ended March 31,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2025,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Lease Transactions:</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nine months ended September 30, 2026, we recorded $23 million in new operating lease right-of-use assets and $33 million in new finance lease right-of-use assets, all obtained in exchange for corresponding lease liabilities. During the nine months ended September 30, 2025, we recorded $31 million in new operating lease right-of-use assets obtained in exchange for corresponding lease liabilities and had no new finance lease right-of-use assets.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condensed consolidated balance sheet and associated payments are included as an operating cash flow in the condensed consolidated statement of cash flows. As of September 30, 2026 and December 31, 2025, the amount of obligations outstanding that we have confirmed as valid under the SCF was $11 million and $9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212529"/>
        </w:rPr>
        <w:t>Accounts Receivable Factoring: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party to a factoring agreement with a global financial institution to sell certain accounts receivable up to </w:t>
      </w:r>
      <w:r>
        <w:rPr>
          <w:rFonts w:ascii="Times New Roman" w:cs="Times New Roman" w:eastAsia="Times New Roman" w:hAnsi="Times New Roman"/>
          <w:sz w:val="18"/>
          <w:szCs w:val="18"/>
          <w:color w:val="212529"/>
        </w:rPr>
        <w:t>$95 million. Factored receivables as of</w:t>
      </w:r>
      <w:r>
        <w:rPr>
          <w:rFonts w:ascii="Times New Roman" w:cs="Times New Roman" w:eastAsia="Times New Roman" w:hAnsi="Times New Roman"/>
          <w:sz w:val="18"/>
          <w:szCs w:val="18"/>
          <w:color w:val="auto"/>
        </w:rPr>
        <w:t xml:space="preserve"> September 30, 2026 were </w:t>
      </w:r>
      <w:r>
        <w:rPr>
          <w:rFonts w:ascii="Times New Roman" w:cs="Times New Roman" w:eastAsia="Times New Roman" w:hAnsi="Times New Roman"/>
          <w:sz w:val="18"/>
          <w:szCs w:val="18"/>
          <w:color w:val="212529"/>
        </w:rPr>
        <w:t>$37 million. Transactions under this agreement are accounted for as sales of accounts receivable, and the receivables sold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w:t>
      </w:r>
      <w:r>
        <w:rPr>
          <w:rFonts w:ascii="Times New Roman" w:cs="Times New Roman" w:eastAsia="Times New Roman" w:hAnsi="Times New Roman"/>
          <w:sz w:val="18"/>
          <w:szCs w:val="18"/>
          <w:color w:val="auto"/>
        </w:rPr>
        <w:t>, which will require additional disclosure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included in the income statement. Annual disclosure requirements will be effective for us beginning in our Annual Report on Form 10-K for the fiscal year ending December 31, 2027, and quarterly disclosure requirements will be effective for us beginning in the first quarter of 2028, with early adoption permitted. We are currently assessing the impact of this standard on our condensed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which updates the accounting for internal-use software costs by increasing the operability of the recognition guidance considering different methods of software development. This ASU is effective for annual reporting periods beginning after December 15, 2027, and interim reporting periods within those annual reporting periods, with early adoption permitted. We are currently assessing the impact of this standard on our condensed consolidated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November 2025, FASB issued ASU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which updates hedge accounting requirements. This ASU is effective for annual reporting periods beginning after December 15, 2026, and interim reporting periods within those annual reporting periods, with early adoption permitted. We are currently assessing the impact of this standard on our condensed consolidated financial statements.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FASB issued ASU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xml:space="preserve"> which clarifies interim disclosure requirements. This ASU is effective for interim reporting periods beginning after December 15, 2027, with early adoption permitted. We are currently assessing the impact of this standard on our condensed consolidated financial statements and related disclosures.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8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0"/>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7"/>
                <w:szCs w:val="17"/>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8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0"/>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7"/>
                <w:szCs w:val="17"/>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Amendment No. 4 to our syndicated loan arrangement, we evaluated the accounting treatment of deferred and new debt transaction costs on a creditor-by-creditor basis in accordance with GAAP. This analysis resulted in the recognition of a debt refinancing expense of $13 million during the nine months ended September 30, 2025, comprised of $12 million of new fees allocated to modified loans and $1 million of deferred financing transaction costs and original issue discount expensed related to extinguished loans. This expense is presented separately in our condensed consolidated statements of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nine months ended September 30, 2025, we capitalized $1 million of qualifying financing-related costs associated with Amendment No. 4. These costs, along with $7 million of remaining deferred financing transaction costs, will be amortized over the remaining term of the Term Loan Facility, subject to acceleration for early term loan principal payments.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 During the nine months ended September 30, 2026, we made a voluntary principal repayment of $50 million. As a result of voluntary principal repayments made, the Term Loan Facility has no quarterly amortization payments due until December 2031, when the quarterly amortization payments will recommence.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 w:name="page12"/>
    <w:bookmarkEnd w:id="1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Facility matures in October 2029 and includes a sub-facility for letters of credit. As of September 30, 2026, we had no outstanding borrowings under the Revolving Facility, and we had $8 million of letters of credit outstanding, which reduces the borrowing capacity under the Revolving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September 30, 2026, which is a Level 2 fair value measurement, approximates the carrying value due to the variable market interest rate and the stability of our credit profile.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 During the year ended December 31, 2025, we entered into additional forward-starting interest rate swaps with start dates beginning in February 2026 that had an aggregate notional value of $900 million. These swaps fix the SOFR at annual rates ranging from 3.33% to 3.41% (resulting in annual effective interest rates of 5.08% to 5.16%, including margin), have maturity dates between March 2028 and March 2031, and carry a weighted average effective rate of 5.12%. As of September 30, 2026 and December 31, 2025, the aggregate notional amount of interest rate swaps outstanding was $900 million and $1,000 million, respectively.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September 30, 2026 hedge a portion of the interest rate exposure resulting from borrowings under our Term Loan Facility. We have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assets and liabilities associated with our interest rate swaps, as reflected gross in the condensed consolidated balance sheets,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6400" w:type="dxa"/>
            <w:vAlign w:val="bottom"/>
          </w:tcPr>
          <w:p>
            <w:pPr>
              <w:spacing w:after="0"/>
              <w:rPr>
                <w:sz w:val="16"/>
                <w:szCs w:val="16"/>
                <w:color w:val="auto"/>
              </w:rPr>
            </w:pPr>
          </w:p>
        </w:tc>
        <w:tc>
          <w:tcPr>
            <w:tcW w:w="17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4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00"/>
        </w:trPr>
        <w:tc>
          <w:tcPr>
            <w:tcW w:w="6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960" w:type="dxa"/>
            <w:vAlign w:val="bottom"/>
          </w:tcPr>
          <w:p>
            <w:pPr>
              <w:spacing w:after="0"/>
              <w:rPr>
                <w:sz w:val="17"/>
                <w:szCs w:val="17"/>
                <w:color w:val="auto"/>
              </w:rPr>
            </w:pPr>
          </w:p>
        </w:tc>
      </w:tr>
      <w:tr>
        <w:trPr>
          <w:trHeight w:val="37"/>
        </w:trPr>
        <w:tc>
          <w:tcPr>
            <w:tcW w:w="64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6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r>
      <w:tr>
        <w:trPr>
          <w:trHeight w:val="257"/>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760" w:type="dxa"/>
            <w:vAlign w:val="bottom"/>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7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Borders>
              <w:top w:val="single" w:sz="8" w:color="auto"/>
              <w:bottom w:val="single" w:sz="8" w:color="auto"/>
            </w:tcBorders>
          </w:tcPr>
          <w:p>
            <w:pPr>
              <w:jc w:val="right"/>
              <w:ind w:right="15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5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7"/>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7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60" w:type="dxa"/>
            <w:vAlign w:val="bottom"/>
            <w:tcBorders>
              <w:top w:val="single" w:sz="8" w:color="auto"/>
              <w:bottom w:val="single" w:sz="8" w:color="auto"/>
            </w:tcBorders>
          </w:tcPr>
          <w:p>
            <w:pPr>
              <w:jc w:val="right"/>
              <w:ind w:right="15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There were no RSUs or PSUs granted in the three months ended September 30, 2026 and 0.4 million of each were granted in the nine months ended September 30, 2026.</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stock-based compensation awards representing 1.8 million shares outstanding compared to 2.0 million shares outstanding as of December 31, 2025. Stock-based compensation expense was $2 million and $10 million for the three and nine months ended September 30, 2026, respectively, compared to $7 million and $18 million in the comparable prior year periods.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September 30, 2026,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we recorded a $25 million environmental remediation reserve related to contamination from historical operations at one of our manufacturing facilities. The remediation plan remains under development and is subject to further technical assessment and regulatory review. We are not able to estimate a possible loss or range of loss, if any, in excess of the established reserve at this time. We will continue to evaluate our remediation obligation as additional information becomes available, and we may update our reserve related to this matter in the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2026, we reorganized the previous Hefty Waste &amp; Storage and Presto Products segments by consolidating waste bags into the new Hefty Waste</w:t>
      </w:r>
    </w:p>
    <w:p>
      <w:pPr>
        <w:spacing w:after="0" w:line="16" w:lineRule="exact"/>
        <w:rPr>
          <w:sz w:val="20"/>
          <w:szCs w:val="20"/>
          <w:color w:val="auto"/>
        </w:rPr>
      </w:pPr>
    </w:p>
    <w:p>
      <w:pPr>
        <w:jc w:val="both"/>
        <w:ind w:firstLine="8"/>
        <w:spacing w:after="0"/>
        <w:tabs>
          <w:tab w:leader="none" w:pos="1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Clean-Up segment and food bags and storage products into the new Hefty Storage &amp; Organization segment in an effort to increase efficiencies, sharpen focus on innovation and establish a structure that can better facilitate entry into adjacent categories. Comparative segment disclosures have been recast to reflect this realignment. Prior periods will be similarly recast in our 2026 Form 10-K. These changes had no effect on our previously reported condensed consolidated results of operations. In addition to the segment realignment, we have renamed our existing Reynolds Cooking &amp; Baking segment and Hefty Tableware segment to Reynolds Cooking &amp; Kitchen Essentials and Hefty Home &amp; Tableware, respectively.</w:t>
      </w: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part of the segment reorganization, $803 million of goodwill was reallocated on a relative fair value basis from the previous Hefty Waste &amp; Storage and Presto Products segments to the new Hefty Waste &amp; Clean-Up and Hefty Storage &amp; Organization segments. We performed a goodwill impairment analysis immediately before and after the segment reorganization, and concluded that goodwill was not impaired. The goodwill balances as of September 30, 2026, for Reynolds Cooking &amp; Kitchen Essentials, Hefty Waste &amp; Clean-Up, Hefty Home &amp; Tableware, and Hefty Storage &amp; Organization were $794 million, $520 million, $298 million and $283 million, respectively.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Kitchen Essentials, Hefty Waste &amp; Clean-Up, Hefty Home &amp; Tableware, and Hefty Storage &amp; Organization. The key factors used to identify these reportable segments are the organization and alignment of our internal operations and the nature of our products. This reflects how our CODM monitors performance, allocates capital and makes strategic and operational decisions.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segments are described as follows: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Kitchen Essentials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Kitchen Essentials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Clean-Up</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Hefty Waste &amp; Clean-Up segment, we produce both branded and store brand trash bags. Our branded products are sold under the Hefty Ultra Strong, Hefty Strong, Hefty Essentials, and Brute brands in the U.S. and select international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Home &amp; Tableware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Hefty Home &amp; Tableware segment sells both branded and store brand disposable and compostable plates, bowls, platters, containers, cups and cutlery.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Hefty branded products include dishes, party cups, cutlery and containers.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Storage &amp; Organization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Hefty Storage &amp; Organization segment produces both branded and store brand food storage bags. Our branded products are sold under the Hefty brand for our food storage bags in the U.S. Our food storage bags are sold internationally as Reynolds, Diamond, or Hefty Basics brands based on region. Our Hefty Storage &amp; Organization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segment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performance versus the prior year and expected long-term financial performance when making decisions about allocating capital and personnel to the segments.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items, if applicable.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lease right-of-use assets. Other assets, such as cash, accounts receivable and intangible assets, are monitored on an entity-wide basis and not included in segment information that is regularly reviewed by our CODM.</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1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Hefty Home &amp;</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82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Kitchen</w:t>
            </w:r>
          </w:p>
        </w:tc>
        <w:tc>
          <w:tcPr>
            <w:tcW w:w="14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1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 &amp;</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140" w:type="dxa"/>
            <w:vAlign w:val="bottom"/>
          </w:tcPr>
          <w:p>
            <w:pPr>
              <w:spacing w:after="0"/>
              <w:rPr>
                <w:sz w:val="17"/>
                <w:szCs w:val="17"/>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14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60" w:type="dxa"/>
            <w:vAlign w:val="bottom"/>
          </w:tcPr>
          <w:p>
            <w:pPr>
              <w:spacing w:after="0"/>
              <w:rPr>
                <w:sz w:val="17"/>
                <w:szCs w:val="17"/>
                <w:color w:val="auto"/>
              </w:rPr>
            </w:pPr>
          </w:p>
        </w:tc>
        <w:tc>
          <w:tcPr>
            <w:tcW w:w="8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5"/>
                <w:szCs w:val="15"/>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1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Hefty Home &amp;</w:t>
            </w: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82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Kitchen</w:t>
            </w:r>
          </w:p>
        </w:tc>
        <w:tc>
          <w:tcPr>
            <w:tcW w:w="1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1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 &amp;</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140" w:type="dxa"/>
            <w:vAlign w:val="bottom"/>
          </w:tcPr>
          <w:p>
            <w:pPr>
              <w:spacing w:after="0"/>
              <w:rPr>
                <w:sz w:val="19"/>
                <w:szCs w:val="19"/>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14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60" w:type="dxa"/>
            <w:vAlign w:val="bottom"/>
          </w:tcPr>
          <w:p>
            <w:pPr>
              <w:spacing w:after="0"/>
              <w:rPr>
                <w:sz w:val="19"/>
                <w:szCs w:val="19"/>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5"/>
                <w:szCs w:val="15"/>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Kitchen</w:t>
            </w:r>
          </w:p>
        </w:tc>
        <w:tc>
          <w:tcPr>
            <w:tcW w:w="1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1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Hefty Home &amp;</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 &amp;</w:t>
            </w:r>
          </w:p>
        </w:tc>
        <w:tc>
          <w:tcPr>
            <w:tcW w:w="16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140" w:type="dxa"/>
            <w:vAlign w:val="bottom"/>
          </w:tcPr>
          <w:p>
            <w:pPr>
              <w:spacing w:after="0"/>
              <w:rPr>
                <w:sz w:val="20"/>
                <w:szCs w:val="20"/>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14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60" w:type="dxa"/>
            <w:vAlign w:val="bottom"/>
          </w:tcPr>
          <w:p>
            <w:pPr>
              <w:spacing w:after="0"/>
              <w:rPr>
                <w:sz w:val="20"/>
                <w:szCs w:val="20"/>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5"/>
                <w:szCs w:val="15"/>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1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Hefty Home &amp;</w:t>
            </w: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82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Kitchen</w:t>
            </w:r>
          </w:p>
        </w:tc>
        <w:tc>
          <w:tcPr>
            <w:tcW w:w="1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1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 &amp;</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140" w:type="dxa"/>
            <w:vAlign w:val="bottom"/>
          </w:tcPr>
          <w:p>
            <w:pPr>
              <w:spacing w:after="0"/>
              <w:rPr>
                <w:sz w:val="17"/>
                <w:szCs w:val="17"/>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14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60" w:type="dxa"/>
            <w:vAlign w:val="bottom"/>
          </w:tcPr>
          <w:p>
            <w:pPr>
              <w:spacing w:after="0"/>
              <w:rPr>
                <w:sz w:val="17"/>
                <w:szCs w:val="17"/>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260" w:type="dxa"/>
            <w:vAlign w:val="bottom"/>
          </w:tcPr>
          <w:p>
            <w:pPr>
              <w:spacing w:after="0"/>
              <w:rPr>
                <w:sz w:val="15"/>
                <w:szCs w:val="15"/>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14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Hefty Home &amp;</w:t>
            </w:r>
          </w:p>
        </w:tc>
        <w:tc>
          <w:tcPr>
            <w:tcW w:w="24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80" w:type="dxa"/>
            <w:vAlign w:val="bottom"/>
          </w:tcPr>
          <w:p>
            <w:pPr>
              <w:spacing w:after="0"/>
              <w:rPr>
                <w:sz w:val="15"/>
                <w:szCs w:val="15"/>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&amp; Kitchen</w:t>
            </w:r>
          </w:p>
        </w:tc>
        <w:tc>
          <w:tcPr>
            <w:tcW w:w="26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Storage &amp;</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1,676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3,433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4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1,423</w:t>
            </w:r>
          </w:p>
        </w:tc>
        <w:tc>
          <w:tcPr>
            <w:tcW w:w="24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3,513</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340" w:hanging="332"/>
        <w:spacing w:after="0" w:line="266"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other revenue adjustments and certain corporate costs, depreciation and amortization and assets not allocated to segments. Unallocated assets are comprised of cash, accounts receivable, other receivables, entity-wide property, plant and equipment, entity-wide lease right-of-use assets, goodwill, intangible assets, related party receivables and other assets.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reflected in Segment Adjusted EBITDA primarily include cost of sales (including input, manufacturing and logistics costs), salaries and benefits, advertising expenses and professional fees. These items are monitored on an entity-wide basis and are not included in segment information that is regularly reviewed by our CODM.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total segment Adjusted EBITDA to GAAP income before income taxes: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0"/>
        </w:trPr>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0"/>
        </w:trPr>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37"/>
        </w:trPr>
        <w:tc>
          <w:tcPr>
            <w:tcW w:w="4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r>
    </w:tbl>
    <w:p>
      <w:pPr>
        <w:spacing w:after="0" w:line="171"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costs for environmental remediation at one of our manufacturing facilities.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one-time settlement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until April 1, 2025, owned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2024,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2025, PFL completed the sale of PEI Group, which was a related party through March 31, 2025, to an unrelated party. Accordingly, transactions and balances with PEI Group from April 1, 2025 are no longer classified as related party items. The related party cash flow amounts presented reflect only activity through March 31, 2025. This change does not affect the presentation of historical related party disclosures.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products sold to PEI Group as a related party were zero and $17 million for the three and nine months ended September 30, 2025, respectively. Products purchased from PEI Group as a related party were zero and $51 million for the three and nine months ended September 30, 2025, respectively. PEI Group as a related party charged us freight and warehousing costs of zero and $4 million for the three and nine months ended September 30, 2025, respectively, which were included in cost of sales. The resulting related party receivables and payables were settled regularly in the normal course of business. Because PEI Group ceased to be a related party after March 31, 2025, there were no transactions with PEI Group as a related party in the three and nine months ended September 30, 2026.</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September 30, 2026 and September 30, 2025, and $108 million and $107 million of the dividends paid during the nine months ended September 30, 2026 and September 30, 2025, respectively, were paid to PFL.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Subsequent to quarter-end, we completed the acquisition of Owl's Head Alloys, Inc. ("OHA") for $110 million on a cash-free, debt-free basis, subject to customary post-closing adjustments. The acquisition was paid for in cash provided by borrowings under our Revolving Facility. OHA adds specialized aluminum processing capabilities that complement our manufacturing network and expands our vertically integrated capabilities.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2026, our Board of Directors approved a cash dividend of $0.23 per common share to be paid on November 30, 2026 to shareholders of record on November 16,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September 30, 2026 which would require recognition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2026, we reorganized the previous Hefty Waste &amp; Storage and Presto Products segments by consolidating waste bags into the new Hefty Waste</w:t>
      </w:r>
    </w:p>
    <w:p>
      <w:pPr>
        <w:spacing w:after="0" w:line="16" w:lineRule="exact"/>
        <w:rPr>
          <w:sz w:val="20"/>
          <w:szCs w:val="20"/>
          <w:color w:val="auto"/>
        </w:rPr>
      </w:pPr>
    </w:p>
    <w:p>
      <w:pPr>
        <w:jc w:val="both"/>
        <w:ind w:firstLine="8"/>
        <w:spacing w:after="0" w:line="244" w:lineRule="auto"/>
        <w:tabs>
          <w:tab w:leader="none" w:pos="1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Clean-Up segment and food bags and storage products into the new Hefty Storage &amp; Organization segment in an effort to increase efficiencies, sharpen focus on innovation and establish a structure that can better facilitate entry into adjacent categories. Comparative segment disclosures have been recast to reflect this realignment. Prior periods will be similarly recast in our 2026 Form 10-K. These changes had no effect on our previously reported condensed consolidated results of operations. In addition to the segment realignment, we have renamed our existing Reynolds Cooking &amp; Baking segment and Hefty Tableware segment to Reynolds Cooking &amp; Kitchen Essentials and Hefty Home &amp; Tableware,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Kitchen Essentials, Hefty Waste &amp; Clean-Up, Hefty Home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Tableware, and Hefty Storage &amp; Organization:</w:t>
      </w:r>
    </w:p>
    <w:p>
      <w:pPr>
        <w:spacing w:after="0" w:line="99" w:lineRule="exact"/>
        <w:rPr>
          <w:sz w:val="20"/>
          <w:szCs w:val="20"/>
          <w:color w:val="auto"/>
        </w:rPr>
      </w:pPr>
    </w:p>
    <w:p>
      <w:pPr>
        <w:jc w:val="both"/>
        <w:ind w:left="660" w:hanging="328"/>
        <w:spacing w:after="0" w:line="25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Kitchen Essentials: Through our Reynolds Cooking &amp; Kitchen Essentials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 than traditional wax paper rolls.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Clean-Up: Through our newly focused Hefty Waste &amp; Clean-Up segment, we produce both branded and store brand trash bags. Hefty is a well-recognized leader in the trash bag category and our private label products offer brand-equivalent quality and value to our retail partners. Reynolds Consumer Products is the largest U.S. trash bag manufacturer by dollar share across MULO</w:t>
      </w:r>
      <w:r>
        <w:rPr>
          <w:rFonts w:ascii="Times New Roman" w:cs="Times New Roman" w:eastAsia="Times New Roman" w:hAnsi="Times New Roman"/>
          <w:sz w:val="12"/>
          <w:szCs w:val="12"/>
          <w:color w:val="auto"/>
        </w:rPr>
        <w:t>+</w:t>
      </w:r>
      <w:r>
        <w:rPr>
          <w:rFonts w:ascii="Times New Roman" w:cs="Times New Roman" w:eastAsia="Times New Roman" w:hAnsi="Times New Roman"/>
          <w:sz w:val="18"/>
          <w:szCs w:val="18"/>
          <w:color w:val="auto"/>
        </w:rPr>
        <w:t xml:space="preserve"> retail channels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Our branded products are sold under the Hefty Ultra Strong, Hefty Strong, Hefty Essentials, and Brute brands in the U.S. and select international markets. Hefty has the #1 branded market share in the U.S. large black trash bag segment, and the #2 branded market share in the tall kitchen trash bag segment. Our waste bag portfolio includes a full suite of products across varying size, strength, scent, color and closure. We also offer sustainable solutions such as compostable bags and bags made from recycled materials. We are proud to have partnered with John Cena as our Hefty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14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4" w:lineRule="exact"/>
        <w:rPr>
          <w:sz w:val="20"/>
          <w:szCs w:val="20"/>
          <w:color w:val="auto"/>
        </w:rPr>
      </w:pPr>
    </w:p>
    <w:p>
      <w:pPr>
        <w:ind w:right="360" w:firstLine="8"/>
        <w:spacing w:after="0" w:line="229" w:lineRule="auto"/>
        <w:tabs>
          <w:tab w:leader="none" w:pos="10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internal estimates derived from Circana MULO</w:t>
      </w:r>
      <w:r>
        <w:rPr>
          <w:rFonts w:ascii="Times New Roman" w:cs="Times New Roman" w:eastAsia="Times New Roman" w:hAnsi="Times New Roman"/>
          <w:sz w:val="12"/>
          <w:szCs w:val="12"/>
          <w:color w:val="auto"/>
        </w:rPr>
        <w:t>+</w:t>
      </w:r>
      <w:r>
        <w:rPr>
          <w:rFonts w:ascii="Times New Roman" w:cs="Times New Roman" w:eastAsia="Times New Roman" w:hAnsi="Times New Roman"/>
          <w:sz w:val="18"/>
          <w:szCs w:val="18"/>
          <w:color w:val="auto"/>
        </w:rPr>
        <w:t xml:space="preserve"> point-of-sale data and company analysis, including attribution of branded and private label sales by manufacturer.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ind w:left="660"/>
        <w:spacing w:after="0" w:line="282" w:lineRule="auto"/>
        <w:rPr>
          <w:sz w:val="20"/>
          <w:szCs w:val="20"/>
          <w:color w:val="auto"/>
        </w:rPr>
      </w:pPr>
      <w:r>
        <w:rPr>
          <w:rFonts w:ascii="Times New Roman" w:cs="Times New Roman" w:eastAsia="Times New Roman" w:hAnsi="Times New Roman"/>
          <w:sz w:val="18"/>
          <w:szCs w:val="18"/>
          <w:color w:val="auto"/>
        </w:rPr>
        <w:t>spokesperson for over ten years and originating with our key waste bag business. We also greatly value our partnership with both Arm &amp; Hammer and Fabuloso brands that drive consumer confidence in our Hefty brand odor control and scent.</w:t>
      </w:r>
    </w:p>
    <w:p>
      <w:pPr>
        <w:spacing w:after="0" w:line="54" w:lineRule="exact"/>
        <w:rPr>
          <w:sz w:val="20"/>
          <w:szCs w:val="20"/>
          <w:color w:val="auto"/>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Home &amp; Tableware: Through our Hefty Home &amp;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We also offer sustainable solutions such as Hefty ECOSAVE cutlery. We are also proud to have partnered with John Cena as our Hefty Home &amp; Tableware spokesperson.</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Storage &amp; Organization: Through our Hefty Storage &amp; Organization segment, we have consolidated our food bag business to increase efficiencies, sharpen our focus on innovation and unlock incremental growth opportunities. The Hefty Storage &amp; Organization segment produces both branded and store brand food bags and business-to-business closures. Hefty is a well-recognized supplier in the food bag category and our private label products offer brand-equivalent quality and value to our retail partners. Our branded products are sold under the Hefty Slider, Hefty Press to Close and Hefty Compostable brands in the U.S. and select international markets. Our food storage bag portfolio includes a full suite of products across varying size, type of closure and in freezer and storage. We also offer sustainable solutions such as compostable bags and bags made from recycled materials. We are proud to have partnered with John Cena as our Hefty food brand spokesperson.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net revenues increased 1% in the three months ended September 30, 2026 compared to the same period in 2025. The increase was primarily due to higher pricing in response to increased input costs, partially offset by lower volume.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increased 3% in the nine months ended September 30, 2026 compared to the same period in 2025. The increase was primarily due to higher pricing in response to increased input costs, partially offset by lower volume.</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three months ended September 30, 2026, our net income decreased by 27% compared to the same period in 2025, primarily driven by lower volume, higher selling, general and administrative costs and an environmental remediation reserve recorded in the current year period, partially offset by higher pricing and costs to execute strategic initiatives and costs associated with our CEO transition in the prior year period that did not repeat in the current year period.</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nine months ended September 30, 2026, our net income increased by 12% compared to the same period in 2025, primarily driven by higher pricing, lower operational costs and debt refinancing expenses, costs to execute strategic initiatives and costs associated with our CEO transition in the prior year period that did not repeat in the current year period, partially offset by higher selling, general and administrative costs and an environmental remediation reserve recorded in the current year period.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adjusted for certain items described in the reconciliation tables such as income tax expense, net interest expense, depreciation and amortization and certain unusual items that we do not consider representative of our ongoing operating performance. We define Adjusted Net Income and Adjusted EPS as Net Income and Earnings Per Share calculated in accordance with GAAP, adjusted for certain items described in the reconciliation tables.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 w:name="page21"/>
    <w:bookmarkEnd w:id="20"/>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measures provides useful information to investors and others in understanding and evaluating our operating results in the same manner as our management team and board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ectPr>
          <w:pgSz w:w="11900" w:h="16838" w:orient="portrait"/>
          <w:cols w:equalWidth="0" w:num="1">
            <w:col w:w="11240"/>
          </w:cols>
          <w:pgMar w:left="320" w:top="1440" w:right="339" w:bottom="1440" w:gutter="0" w:footer="0" w:header="0"/>
        </w:sectPr>
      </w:pPr>
    </w:p>
    <w:p>
      <w:pPr>
        <w:spacing w:after="0" w:line="2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41910</wp:posOffset>
            </wp:positionV>
            <wp:extent cx="220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6" w:lineRule="exact"/>
        <w:rPr>
          <w:sz w:val="20"/>
          <w:szCs w:val="20"/>
          <w:color w:val="auto"/>
        </w:rPr>
      </w:pPr>
    </w:p>
    <w:p>
      <w:pPr>
        <w:ind w:left="4980"/>
        <w:spacing w:after="0"/>
        <w:tabs>
          <w:tab w:leader="none" w:pos="67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41910</wp:posOffset>
            </wp:positionV>
            <wp:extent cx="2202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41910</wp:posOffset>
            </wp:positionV>
            <wp:extent cx="2168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6" w:lineRule="exact"/>
        <w:rPr>
          <w:sz w:val="20"/>
          <w:szCs w:val="20"/>
          <w:color w:val="auto"/>
        </w:rPr>
      </w:pPr>
    </w:p>
    <w:p>
      <w:pPr>
        <w:ind w:left="60"/>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41910</wp:posOffset>
            </wp:positionV>
            <wp:extent cx="2168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6" w:lineRule="exact"/>
        <w:rPr>
          <w:sz w:val="20"/>
          <w:szCs w:val="20"/>
          <w:color w:val="auto"/>
        </w:rPr>
      </w:pPr>
    </w:p>
    <w:p>
      <w:pPr>
        <w:sectPr>
          <w:pgSz w:w="11900" w:h="16838" w:orient="portrait"/>
          <w:cols w:equalWidth="0" w:num="2">
            <w:col w:w="7740" w:space="720"/>
            <w:col w:w="27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r>
      <w:tr>
        <w:trPr>
          <w:trHeight w:val="25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4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(2)</w:t>
            </w:r>
          </w:p>
        </w:tc>
        <w:tc>
          <w:tcPr>
            <w:tcW w:w="7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(4)</w:t>
            </w:r>
          </w:p>
        </w:tc>
        <w:tc>
          <w:tcPr>
            <w:tcW w:w="7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(5)</w:t>
            </w:r>
          </w:p>
        </w:tc>
        <w:tc>
          <w:tcPr>
            <w:tcW w:w="7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7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tcPr>
          <w:p>
            <w:pPr>
              <w:spacing w:after="0"/>
              <w:rPr>
                <w:sz w:val="21"/>
                <w:szCs w:val="21"/>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Pr>
          <w:p>
            <w:pPr>
              <w:spacing w:after="0"/>
              <w:rPr>
                <w:sz w:val="21"/>
                <w:szCs w:val="21"/>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00" w:type="dxa"/>
            <w:vAlign w:val="bottom"/>
          </w:tcPr>
          <w:p>
            <w:pPr>
              <w:spacing w:after="0"/>
              <w:rPr>
                <w:sz w:val="21"/>
                <w:szCs w:val="21"/>
                <w:color w:val="auto"/>
              </w:rPr>
            </w:pP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r>
      <w:tr>
        <w:trPr>
          <w:trHeight w:val="27"/>
        </w:trPr>
        <w:tc>
          <w:tcPr>
            <w:tcW w:w="4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4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costs for environmental remediation at one of our manufacturing facilities.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one-time settlement costs.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our net income and diluted EPS, the most directly comparable GAAP financial measure, to Adjusted Net Income and Adjusted Diluted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0" w:type="dxa"/>
            <w:vAlign w:val="bottom"/>
          </w:tcPr>
          <w:p>
            <w:pPr>
              <w:spacing w:after="0"/>
              <w:rPr>
                <w:sz w:val="16"/>
                <w:szCs w:val="16"/>
                <w:color w:val="auto"/>
              </w:rPr>
            </w:pPr>
          </w:p>
        </w:tc>
        <w:tc>
          <w:tcPr>
            <w:tcW w:w="2760" w:type="dxa"/>
            <w:vAlign w:val="bottom"/>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r>
      <w:tr>
        <w:trPr>
          <w:trHeight w:val="37"/>
        </w:trPr>
        <w:tc>
          <w:tcPr>
            <w:tcW w:w="4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57"/>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r>
      <w:tr>
        <w:trPr>
          <w:trHeight w:val="28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remediation reserve</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to execute strategic initiatives</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4"/>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CEO transition costs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5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302"/>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hanging="652"/>
        <w:spacing w:after="0" w:line="282" w:lineRule="auto"/>
        <w:tabs>
          <w:tab w:leader="none" w:pos="4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23.5% for deductible items in the three months ended September 30, 2026, 23.7% for the comparable prior year period and 0% for non-deductible items.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80" w:type="dxa"/>
            <w:vAlign w:val="bottom"/>
          </w:tcPr>
          <w:p>
            <w:pPr>
              <w:spacing w:after="0"/>
              <w:rPr>
                <w:sz w:val="16"/>
                <w:szCs w:val="16"/>
                <w:color w:val="auto"/>
              </w:rPr>
            </w:pPr>
          </w:p>
        </w:tc>
        <w:tc>
          <w:tcPr>
            <w:tcW w:w="274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37"/>
        </w:trPr>
        <w:tc>
          <w:tcPr>
            <w:tcW w:w="46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5"/>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6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57"/>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0.97</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r>
      <w:tr>
        <w:trPr>
          <w:trHeight w:val="28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remediation reserve</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refinancing expense</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to execute strategic initiatives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57"/>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 transition costs</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8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80" w:type="dxa"/>
            <w:vAlign w:val="bottom"/>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6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80" w:type="dxa"/>
            <w:vAlign w:val="bottom"/>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Pr>
          <w:p>
            <w:pPr>
              <w:spacing w:after="0"/>
              <w:rPr>
                <w:sz w:val="21"/>
                <w:szCs w:val="21"/>
                <w:color w:val="auto"/>
              </w:rPr>
            </w:pPr>
          </w:p>
        </w:tc>
        <w:tc>
          <w:tcPr>
            <w:tcW w:w="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7"/>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hanging="652"/>
        <w:spacing w:after="0" w:line="282" w:lineRule="auto"/>
        <w:tabs>
          <w:tab w:leader="none" w:pos="4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23.5% for deductible items in the nine months ended September 30, 2026, 23.7% for comparable prior year period and 0% for non-deductible items.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during the three months ended March 31, 2025, and industrial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28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 Home &amp;</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 &amp;</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200" w:type="dxa"/>
            <w:vAlign w:val="bottom"/>
          </w:tcPr>
          <w:p>
            <w:pPr>
              <w:spacing w:after="0"/>
              <w:rPr>
                <w:sz w:val="14"/>
                <w:szCs w:val="14"/>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4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Kitchen Essentials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Waste &amp; Clean-Up</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1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three months ended</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38"/>
        </w:trPr>
        <w:tc>
          <w:tcPr>
            <w:tcW w:w="33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three months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September 30:</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57"/>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6071235</wp:posOffset>
            </wp:positionH>
            <wp:positionV relativeFrom="paragraph">
              <wp:posOffset>-1473200</wp:posOffset>
            </wp:positionV>
            <wp:extent cx="97155" cy="74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313" w:lineRule="exact"/>
        <w:rPr>
          <w:sz w:val="20"/>
          <w:szCs w:val="20"/>
          <w:color w:val="auto"/>
        </w:rPr>
      </w:pPr>
    </w:p>
    <w:p>
      <w:pPr>
        <w:ind w:left="340" w:hanging="332"/>
        <w:spacing w:after="0" w:line="261"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22" w:name="page23"/>
    <w:bookmarkEnd w:id="22"/>
    <w:p>
      <w:pPr>
        <w:spacing w:after="0" w:line="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with the Three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0" w:type="dxa"/>
            <w:vAlign w:val="bottom"/>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944</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236</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98</w:t>
            </w: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123</w:t>
            </w: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102</w:t>
            </w: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60" w:type="dxa"/>
            <w:vAlign w:val="bottom"/>
            <w:vMerge w:val="continue"/>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79</w:t>
            </w:r>
          </w:p>
        </w:tc>
        <w:tc>
          <w:tcPr>
            <w:tcW w:w="16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60" w:type="dxa"/>
            <w:vAlign w:val="bottom"/>
            <w:vMerge w:val="continue"/>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163</w:t>
            </w:r>
          </w:p>
        </w:tc>
        <w:tc>
          <w:tcPr>
            <w:tcW w:w="1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168</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-179705</wp:posOffset>
            </wp:positionV>
            <wp:extent cx="106045" cy="86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2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September 30, 2026 vs. the Three Months Ended September 30, 2025</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0"/>
        </w:trPr>
        <w:tc>
          <w:tcPr>
            <w:tcW w:w="4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560" w:type="dxa"/>
            <w:vAlign w:val="bottom"/>
          </w:tcPr>
          <w:p>
            <w:pPr>
              <w:spacing w:after="0"/>
              <w:rPr>
                <w:sz w:val="17"/>
                <w:szCs w:val="17"/>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7"/>
        </w:trPr>
        <w:tc>
          <w:tcPr>
            <w:tcW w:w="4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6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Kitchen Essentials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5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Clean-Up</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4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6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Home &amp; Tableware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r>
      <w:tr>
        <w:trPr>
          <w:trHeight w:val="25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Storage &amp; 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4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7"/>
        </w:trPr>
        <w:tc>
          <w:tcPr>
            <w:tcW w:w="4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$13 million, or 1%, to $944 million. The increase was driven by higher pricing in response to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 costs, partially offset by lower volume.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$10 million, or 1%, to $708 million. The increase was primarily driven by higher input costs.</w:t>
      </w:r>
    </w:p>
    <w:p>
      <w:pPr>
        <w:spacing w:after="0" w:line="23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$7 million, or 7%, to $106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personnel costs and higher professional fees, as we continue to reinvest in the business.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by $21 million, or 191% to $32 million, due to an environmental remediation reserve and acquisition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one-time settlement costs recorded in the current year period, partially offset by costs to execute strategic initiatives and costs associated with our CEO transition in the prior year period that did not repeat in the current year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$1 million, or 5%, to $22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$18 million on income before income taxes of $76 million (an effective tax rate of 23.2%)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2026 compared to income tax expense of $23 million on income before income taxes of $102 million (an effective tax rate of 22.4%) for the three months ended September 30, 2025.</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$5 million, or 3%, to $163 million. The decrease in Adjusted EBITDA was driven by lower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higher selling, general and administrative expenses, partially offset by timing of input cost flow through relative to pricing actions and productivity gains across the supply chain.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Kitchen Essentials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29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(4)</w:t>
            </w: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Kitchen Essentials total segment net revenues increased by $29 million, or 9%, to $337 million.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net revenues was primarily due to higher pricing as a result of increased input costs, partially offset by lower volume.</w:t>
      </w:r>
    </w:p>
    <w:p>
      <w:pPr>
        <w:spacing w:after="0" w:line="18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Kitchen Essentials Adjusted EBITDA decreased by $4 million, or 8%, to $49 million. The decrease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lower volume as pricing actions fully offset higher input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Clean-Up</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5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540" w:type="dxa"/>
            <w:vAlign w:val="bottom"/>
            <w:tcBorders>
              <w:bottom w:val="single" w:sz="8" w:color="CCEEFF"/>
            </w:tcBorders>
            <w:gridSpan w:val="2"/>
            <w:shd w:val="clear" w:color="auto" w:fill="CCEEFF"/>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Clean-Up total segment net revenues increased by $4 million, or 2%, to $248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due to higher pricing as a result of increased input costs, partially offset by lower volume.</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Clean-Up Adjusted EBITDA increased by $4 million, or 6%, to $76 million. The increase was due to productivity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the supply chain, partially offset by lower volume.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Home &amp; Tableware</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r>
      <w:tr>
        <w:trPr>
          <w:trHeight w:val="25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Home &amp; Tableware total segment net revenues decreased by $14 million, or 7%, to $186 million. The decrease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due to lower volume, primarily foam, partially offset by higher pricing as a result of increased input costs and reduced promotional activity.</w:t>
      </w:r>
    </w:p>
    <w:p>
      <w:pPr>
        <w:spacing w:after="0" w:line="18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Home &amp; Tableware Adjusted EBITDA decreased by $4 million, or 14%, to $25 million. The decrease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lower volume partially offset by reduced promotional activity.</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4" w:name="page25"/>
    <w:bookmarkEnd w:id="2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Storage &amp; Organization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520" w:type="dxa"/>
            <w:vAlign w:val="bottom"/>
            <w:tcBorders>
              <w:bottom w:val="single" w:sz="8" w:color="CCEEFF"/>
            </w:tcBorders>
            <w:gridSpan w:val="2"/>
            <w:shd w:val="clear" w:color="auto" w:fill="CCEEFF"/>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r>
      <w:tr>
        <w:trPr>
          <w:trHeight w:val="25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w:t>
            </w:r>
          </w:p>
        </w:tc>
        <w:tc>
          <w:tcPr>
            <w:tcW w:w="240" w:type="dxa"/>
            <w:vAlign w:val="bottom"/>
          </w:tcPr>
          <w:p>
            <w:pPr>
              <w:spacing w:after="0"/>
              <w:rPr>
                <w:sz w:val="22"/>
                <w:szCs w:val="22"/>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Storage &amp; Organization total segment net revenues decreased by $8 million, or 4%, to $172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due to lower volume, partially offset by higher pricing as a result of increased input costs.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Hefty Storage &amp; Organization Adjusted EBITDA decreased by $6 million, or 17%, to $30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through March 31, 2025, and industrial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Hefty Home &amp;</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Kitchen</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 &amp;</w:t>
            </w:r>
          </w:p>
        </w:tc>
        <w:tc>
          <w:tcPr>
            <w:tcW w:w="120" w:type="dxa"/>
            <w:vAlign w:val="bottom"/>
          </w:tcPr>
          <w:p>
            <w:pPr>
              <w:spacing w:after="0"/>
              <w:rPr>
                <w:sz w:val="14"/>
                <w:szCs w:val="14"/>
                <w:color w:val="auto"/>
              </w:rPr>
            </w:pPr>
          </w:p>
        </w:tc>
        <w:tc>
          <w:tcPr>
            <w:tcW w:w="1200" w:type="dxa"/>
            <w:vAlign w:val="bottom"/>
            <w:gridSpan w:val="2"/>
            <w:vMerge w:val="restart"/>
          </w:tcPr>
          <w:p>
            <w:pPr>
              <w:ind w:left="40"/>
              <w:spacing w:after="0" w:line="161"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9"/>
                <w:szCs w:val="9"/>
                <w:b w:val="1"/>
                <w:bCs w:val="1"/>
                <w:color w:val="auto"/>
              </w:rPr>
              <w:t>1</w:t>
            </w:r>
            <w:r>
              <w:rPr>
                <w:rFonts w:ascii="MS PGothic" w:cs="MS PGothic" w:eastAsia="MS PGothic" w:hAnsi="MS PGothic"/>
                <w:sz w:val="14"/>
                <w:szCs w:val="14"/>
                <w:color w:val="auto"/>
              </w:rPr>
              <w:t>⁾</w:t>
            </w:r>
          </w:p>
        </w:tc>
        <w:tc>
          <w:tcPr>
            <w:tcW w:w="120" w:type="dxa"/>
            <w:vAlign w:val="bottom"/>
          </w:tcPr>
          <w:p>
            <w:pPr>
              <w:spacing w:after="0"/>
              <w:rPr>
                <w:sz w:val="14"/>
                <w:szCs w:val="14"/>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10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1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nine months ended September 30: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80" w:type="dxa"/>
            <w:vAlign w:val="bottom"/>
          </w:tcPr>
          <w:p>
            <w:pPr>
              <w:jc w:val="right"/>
              <w:ind w:right="3792"/>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80" w:type="dxa"/>
            <w:vAlign w:val="bottom"/>
            <w:tcBorders>
              <w:bottom w:val="single" w:sz="8" w:color="CCEEFF"/>
            </w:tcBorders>
            <w:shd w:val="clear" w:color="auto" w:fill="CCEEFF"/>
          </w:tcPr>
          <w:p>
            <w:pPr>
              <w:jc w:val="right"/>
              <w:ind w:right="379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nine months ended September</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80" w:type="dxa"/>
            <w:vAlign w:val="bottom"/>
            <w:tcBorders>
              <w:bottom w:val="single" w:sz="8" w:color="CCEEFF"/>
            </w:tcBorders>
            <w:shd w:val="clear" w:color="auto" w:fill="CCEEFF"/>
          </w:tcPr>
          <w:p>
            <w:pPr>
              <w:jc w:val="right"/>
              <w:ind w:right="3792"/>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57"/>
        </w:trPr>
        <w:tc>
          <w:tcPr>
            <w:tcW w:w="4480" w:type="dxa"/>
            <w:vAlign w:val="bottom"/>
          </w:tcPr>
          <w:p>
            <w:pPr>
              <w:jc w:val="right"/>
              <w:ind w:right="379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6216650</wp:posOffset>
            </wp:positionH>
            <wp:positionV relativeFrom="paragraph">
              <wp:posOffset>-1336040</wp:posOffset>
            </wp:positionV>
            <wp:extent cx="97155" cy="74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40" w:hanging="332"/>
        <w:spacing w:after="0" w:line="261"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with the Nine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40" w:type="dxa"/>
            <w:vAlign w:val="bottom"/>
          </w:tcPr>
          <w:p>
            <w:pPr>
              <w:spacing w:after="0"/>
              <w:rPr>
                <w:sz w:val="22"/>
                <w:szCs w:val="22"/>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(75) %</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25 %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2"/>
                <w:szCs w:val="22"/>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40" w:type="dxa"/>
            <w:vAlign w:val="bottom"/>
          </w:tcPr>
          <w:p>
            <w:pPr>
              <w:spacing w:after="0"/>
              <w:rPr>
                <w:sz w:val="21"/>
                <w:szCs w:val="21"/>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10 %</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9 %</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2"/>
                <w:szCs w:val="22"/>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7 %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6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40" w:type="dxa"/>
            <w:vAlign w:val="bottom"/>
          </w:tcPr>
          <w:p>
            <w:pPr>
              <w:spacing w:after="0"/>
              <w:rPr>
                <w:sz w:val="24"/>
                <w:szCs w:val="24"/>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6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Nine Months Ended September 30, 2026 vs. the Nine Months Ended September 30, 2025</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200"/>
        </w:trPr>
        <w:tc>
          <w:tcPr>
            <w:tcW w:w="4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5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Kitchen Essentials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r>
      <w:tr>
        <w:trPr>
          <w:trHeight w:val="25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Clean-Up</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Home &amp; Tableware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r>
      <w:tr>
        <w:trPr>
          <w:trHeight w:val="25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Storage &amp; 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7"/>
        </w:trPr>
        <w:tc>
          <w:tcPr>
            <w:tcW w:w="4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$78 million, or 3% to $2,765 million. The increase was primarily driven by higher pricing in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input costs, partially offset by lower volume.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$37 million, or 2%, to $2,076 million. The increase was primarily driven by higher input costs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volume.</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$22 million, or 7%, to $322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personnel costs and higher professional fees, as we continue to reinvest in the business.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by $1 million, or 3%, to $33 million in the nine months ended September 30, 2026,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remediation reserve and acquisition and one-time settlement costs recorded in the current year period, partially offset by costs to execute strategic initiatives and costs associated with our CEO transition in the prior year period that did not repeat in the current year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$2 million, or 3%, to $65 million.</w:t>
      </w:r>
    </w:p>
    <w:p>
      <w:pPr>
        <w:sectPr>
          <w:pgSz w:w="11900" w:h="16838" w:orient="portrait"/>
          <w:cols w:equalWidth="0" w:num="1">
            <w:col w:w="11240"/>
          </w:cols>
          <w:pgMar w:left="320" w:top="1440" w:right="33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122" w:gutter="0" w:footer="0" w:header="0"/>
          <w:type w:val="continuous"/>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Debt Refinancing Expense</w:t>
      </w:r>
      <w:r>
        <w:rPr>
          <w:rFonts w:ascii="Times New Roman" w:cs="Times New Roman" w:eastAsia="Times New Roman" w:hAnsi="Times New Roman"/>
          <w:sz w:val="18"/>
          <w:szCs w:val="18"/>
          <w:color w:val="auto"/>
        </w:rPr>
        <w:t>. In connection with the refinancing of our senior secured term loan facility in March 2025, we recorded debt refinancing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$13 million in the nine months ended September 30, 2025.</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$63 million on income before taxes of $269 million (an effective tax rate of 23.5%)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compared to income tax expense of $56 million on income before taxes of $240 million (an effective tax rate of 23.3%) for the nine months ended September 30, 2025.</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$17 million, or 4%, to $464 million. The increase in Adjusted EBITDA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input cost flow through relative to pricing actions and lower operational costs, partially offset by lower volume and higher selling, general and administrative costs.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Kitchen Essentials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Kitchen Essentials total segment net revenues increased by $104 million, or 12%, to $966 million.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net revenues was primarily due to higher pricing in response to higher input costs, partially offset by lower volume.</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Kitchen Essentials Adjusted EBITDA increased by $7 million, or 5%, to $147 million. The increase in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was primarily driven by timing of input cost flow through relative to pricing actions, partially offset by lower volume.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Clean-Up</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Clean-Up total segment net revenues were flat compared to the prior period. Higher pricing was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volume.</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Clean-Up Adjusted EBITDA was flat compared to the prior period. Productivity gains across the supply chain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higher transportation costs.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7" w:name="page28"/>
    <w:bookmarkEnd w:id="2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Home &amp; Tableware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9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4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r>
      <w:tr>
        <w:trPr>
          <w:trHeight w:val="25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Home &amp; Tableware total segment net revenues decreased by $39 million, or 6%, to $583 million. The decrease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lower volume, partially offset by higher pricing and reduced promotional activity.</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Home &amp; Tableware Adjusted EBITDA increased by $15 million, or 19%, to $96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timing of input cost flow through relative to pricing actions, reduced promotional activity and lower operational costs, partially offset by lower volume.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Storage &amp; Organization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0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r>
      <w:tr>
        <w:trPr>
          <w:trHeight w:val="25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Storage &amp; Organization total segment net revenues increased by $6 million, or 1%, to $506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Hefty Storage &amp; Organization Adjusted EBITDA decreased by $2 million, or 2%, to $84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higher input and logistics costs.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8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13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0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w w:val="96"/>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5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2"/>
                <w:szCs w:val="22"/>
                <w:color w:val="auto"/>
              </w:rPr>
            </w:pPr>
          </w:p>
        </w:tc>
        <w:tc>
          <w:tcPr>
            <w:tcW w:w="1300" w:type="dxa"/>
            <w:vAlign w:val="bottom"/>
          </w:tcPr>
          <w:p>
            <w:pPr>
              <w:jc w:val="center"/>
              <w:ind w:left="756"/>
              <w:spacing w:after="0"/>
              <w:rPr>
                <w:sz w:val="20"/>
                <w:szCs w:val="20"/>
                <w:color w:val="auto"/>
              </w:rPr>
            </w:pPr>
            <w:r>
              <w:rPr>
                <w:rFonts w:ascii="Times New Roman" w:cs="Times New Roman" w:eastAsia="Times New Roman" w:hAnsi="Times New Roman"/>
                <w:sz w:val="18"/>
                <w:szCs w:val="18"/>
                <w:color w:val="auto"/>
                <w:w w:val="97"/>
              </w:rPr>
              <w:t>(143)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7"/>
              </w:rPr>
              <w:t>(203)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center"/>
              <w:ind w:left="756"/>
              <w:spacing w:after="0"/>
              <w:rPr>
                <w:sz w:val="20"/>
                <w:szCs w:val="20"/>
                <w:color w:val="auto"/>
              </w:rPr>
            </w:pPr>
            <w:r>
              <w:rPr>
                <w:rFonts w:ascii="Times New Roman" w:cs="Times New Roman" w:eastAsia="Times New Roman" w:hAnsi="Times New Roman"/>
                <w:sz w:val="18"/>
                <w:szCs w:val="18"/>
                <w:b w:val="1"/>
                <w:bCs w:val="1"/>
                <w:color w:val="auto"/>
                <w:w w:val="97"/>
              </w:rPr>
              <w:t>(122)</w:t>
            </w: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r>
      <w:tr>
        <w:trPr>
          <w:trHeight w:val="27"/>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Net cash from operating activities decreased by $16 million to $224 million in the nine months ended September 30, 2026. </w:t>
      </w:r>
      <w:r>
        <w:rPr>
          <w:rFonts w:ascii="Times New Roman" w:cs="Times New Roman" w:eastAsia="Times New Roman" w:hAnsi="Times New Roman"/>
          <w:sz w:val="18"/>
          <w:szCs w:val="18"/>
          <w:color w:val="212529"/>
        </w:rPr>
        <w:t>The decrease was primarily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driven by higher working capital driven as a result of higher commodity costs partially offset by higher net income.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increased by $19 million to $143 million. The increase was driven by higher cash outlays for capital expenditures.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$3 million to $203 million. The increase was primarily attributable to higher tax withholdings on stock awards.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remained unchanged.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outstanding balance under the Term Loan Facility was $1,536 million. As of September 30, 2026, we had no outstanding borrowings under the Revolving Facility, and we had $8 million of letters of credit outstanding, which reduces the borrowing capacity under the Revolving Facility. Subsequent to quarter-end, we borrowed $110 million under the Revolving Facility for our acquisition of Owl's Head Alloys, Inc..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interest rate swaps in effect as of September 30, 2026 was $900 million, and the SOFR was fixed at an annual rate of 3.33% to 3.41% (resulting in annual effective interest rates of 5.08% to 5.16%, including margin). These interest rate swaps hedge a portion of the interest rate exposure resulting from borrowings under our Term Loan Facility for between two and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made voluntary principal payments of $50 million related to our Term Loan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 As a result of voluntary principal repayments made, the Term Loan Facility has no quarterly amortization payments due until December 2031, when the quarterly amortization payments will recommence.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matures in October 2029.</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party to a factoring agreement with a global financial institution to sell certain accounts receivable up to </w:t>
      </w:r>
      <w:r>
        <w:rPr>
          <w:rFonts w:ascii="Times New Roman" w:cs="Times New Roman" w:eastAsia="Times New Roman" w:hAnsi="Times New Roman"/>
          <w:sz w:val="18"/>
          <w:szCs w:val="18"/>
          <w:color w:val="212529"/>
        </w:rPr>
        <w:t>$95 million. Factored receivables as of</w:t>
      </w:r>
      <w:r>
        <w:rPr>
          <w:rFonts w:ascii="Times New Roman" w:cs="Times New Roman" w:eastAsia="Times New Roman" w:hAnsi="Times New Roman"/>
          <w:sz w:val="18"/>
          <w:szCs w:val="18"/>
          <w:color w:val="auto"/>
        </w:rPr>
        <w:t xml:space="preserve"> September 30, 2026 were </w:t>
      </w:r>
      <w:r>
        <w:rPr>
          <w:rFonts w:ascii="Times New Roman" w:cs="Times New Roman" w:eastAsia="Times New Roman" w:hAnsi="Times New Roman"/>
          <w:sz w:val="18"/>
          <w:szCs w:val="18"/>
          <w:color w:val="212529"/>
        </w:rPr>
        <w:t>$37 million. Transactions under this agreement are accounted for as sales of accounts receivable, and the receivables sold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condensed consolidated balance sheet and associated payments are included as an operating cash flow in the condensed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statement of cash flows. As of September 30, 2026 and December 31, 2025, the amount of obligations outstanding that we have confirmed as valid under the SCF was $11 million and $9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cash dividends of $0.23 and $0.69 per share, respectively, were declared and paid. On October 29, 2026, a quarterly cash dividend of $0.23 per share was declared and is to be paid on November 30, 2026.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2025. During the nine months ended September 30, 2026,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September 30, 2026. Based on that evaluation, our Chief Executive Officer and Chief Financial Officer have concluded that, as of September 30, 2026,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9"/>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61"/>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40" w:type="dxa"/>
            <w:vAlign w:val="bottom"/>
            <w:gridSpan w:val="9"/>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46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Certificate of Incorporation, conformed version that includes all amendments through April 25,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2"/>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(incorporated herein by reference to Exhibit 3.1 to the Company’s Quarterly Report on Form 10-Q filed with the SEC on August 7,</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FF"/>
                <w:w w:val="95"/>
              </w:rPr>
            </w:pPr>
            <w:hyperlink r:id="rId57">
              <w:r>
                <w:rPr>
                  <w:rFonts w:ascii="Times New Roman" w:cs="Times New Roman" w:eastAsia="Times New Roman" w:hAnsi="Times New Roman"/>
                  <w:sz w:val="18"/>
                  <w:szCs w:val="18"/>
                  <w:color w:val="0000FF"/>
                  <w:w w:val="95"/>
                </w:rPr>
                <w:t>2024)</w:t>
              </w:r>
            </w:hyperlink>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12"/>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with the SEC on February 4, 2020)</w:t>
              </w:r>
            </w:hyperlink>
          </w:p>
        </w:tc>
        <w:tc>
          <w:tcPr>
            <w:tcW w:w="7120" w:type="dxa"/>
            <w:vAlign w:val="bottom"/>
            <w:tcBorders>
              <w:top w:val="single" w:sz="8" w:color="0000FF"/>
            </w:tcBorders>
            <w:gridSpan w:val="8"/>
          </w:tcPr>
          <w:p>
            <w:pPr>
              <w:spacing w:after="0"/>
              <w:rPr>
                <w:sz w:val="17"/>
                <w:szCs w:val="17"/>
                <w:color w:val="auto"/>
              </w:rPr>
            </w:pPr>
          </w:p>
        </w:tc>
        <w:tc>
          <w:tcPr>
            <w:tcW w:w="120" w:type="dxa"/>
            <w:vAlign w:val="bottom"/>
          </w:tcPr>
          <w:p>
            <w:pPr>
              <w:spacing w:after="0"/>
              <w:rPr>
                <w:sz w:val="17"/>
                <w:szCs w:val="17"/>
                <w:color w:val="auto"/>
              </w:rPr>
            </w:pPr>
          </w:p>
        </w:tc>
      </w:tr>
      <w:tr>
        <w:trPr>
          <w:trHeight w:val="26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2"/>
          </w:tcPr>
          <w:p>
            <w:pPr>
              <w:spacing w:after="0"/>
              <w:rPr>
                <w:sz w:val="22"/>
                <w:szCs w:val="22"/>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8"/>
          </w:tcPr>
          <w:p>
            <w:pPr>
              <w:spacing w:after="0"/>
              <w:rPr>
                <w:sz w:val="17"/>
                <w:szCs w:val="17"/>
                <w:color w:val="auto"/>
              </w:rPr>
            </w:pPr>
          </w:p>
        </w:tc>
      </w:tr>
      <w:tr>
        <w:trPr>
          <w:trHeight w:val="26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4"/>
          </w:tcPr>
          <w:p>
            <w:pPr>
              <w:spacing w:after="0"/>
              <w:rPr>
                <w:sz w:val="22"/>
                <w:szCs w:val="22"/>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8"/>
          </w:tcPr>
          <w:p>
            <w:pPr>
              <w:spacing w:after="0"/>
              <w:rPr>
                <w:sz w:val="17"/>
                <w:szCs w:val="17"/>
                <w:color w:val="auto"/>
              </w:rPr>
            </w:pPr>
          </w:p>
        </w:tc>
      </w:tr>
      <w:tr>
        <w:trPr>
          <w:trHeight w:val="26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3"/>
          </w:tcPr>
          <w:p>
            <w:pPr>
              <w:spacing w:after="0"/>
              <w:rPr>
                <w:sz w:val="22"/>
                <w:szCs w:val="22"/>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0"/>
          </w:tcPr>
          <w:p>
            <w:pPr>
              <w:spacing w:after="0"/>
              <w:rPr>
                <w:sz w:val="17"/>
                <w:szCs w:val="17"/>
                <w:color w:val="auto"/>
              </w:rPr>
            </w:pPr>
          </w:p>
        </w:tc>
      </w:tr>
      <w:tr>
        <w:trPr>
          <w:trHeight w:val="26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8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November 4,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5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Lowe,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2026 as filed with the Securities and Exchange Commission on the date hereof (the “Report”), I, Scott Huckins,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9"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2026 as filed with the Securities and Exchange Commission on the date hereof (the “Report”), I, Nathan Lowe,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9"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amp;"/>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amp;"/>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7" Type="http://schemas.openxmlformats.org/officeDocument/2006/relationships/hyperlink" Target="https://www.sec.gov/Archives/edgar/data/1786431/000162828024035405/reyn-2024630x10qxexx33.htm" TargetMode="External"/><Relationship Id="rId58" Type="http://schemas.openxmlformats.org/officeDocument/2006/relationships/hyperlink" Target="https://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2026-11-04T08:18:38Z</dcterms:created>
  <dcterms:modified xsi:type="dcterms:W3CDTF">2026-11-04T08:18:38Z</dcterms:modified>
</cp:coreProperties>
</file>